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7FD8" w14:textId="77777777" w:rsidR="003B12C8" w:rsidRDefault="003B12C8" w:rsidP="009D1062">
      <w:pPr>
        <w:rPr>
          <w:rFonts w:ascii="Gill Sans MT" w:hAnsi="Gill Sans MT"/>
          <w:b/>
          <w:bCs/>
          <w:sz w:val="24"/>
          <w:szCs w:val="24"/>
        </w:rPr>
      </w:pPr>
    </w:p>
    <w:p w14:paraId="1DF4DE61" w14:textId="0BA07126" w:rsidR="00C736E9" w:rsidRDefault="00C736E9" w:rsidP="009D1062">
      <w:pPr>
        <w:rPr>
          <w:rFonts w:ascii="Gill Sans MT" w:hAnsi="Gill Sans MT"/>
          <w:b/>
          <w:bCs/>
          <w:sz w:val="24"/>
          <w:szCs w:val="24"/>
        </w:rPr>
      </w:pPr>
      <w:proofErr w:type="spellStart"/>
      <w:r w:rsidRPr="009D1062">
        <w:rPr>
          <w:rFonts w:ascii="Gill Sans MT" w:hAnsi="Gill Sans MT"/>
          <w:b/>
          <w:bCs/>
          <w:sz w:val="24"/>
          <w:szCs w:val="24"/>
        </w:rPr>
        <w:t>Rubric</w:t>
      </w:r>
      <w:proofErr w:type="spellEnd"/>
      <w:r w:rsidRPr="009D1062">
        <w:rPr>
          <w:rFonts w:ascii="Gill Sans MT" w:hAnsi="Gill Sans MT"/>
          <w:b/>
          <w:bCs/>
          <w:sz w:val="24"/>
          <w:szCs w:val="24"/>
        </w:rPr>
        <w:t xml:space="preserve"> creatief schrijven</w:t>
      </w:r>
      <w:r w:rsidR="009D1062" w:rsidRPr="009D1062">
        <w:rPr>
          <w:rFonts w:ascii="Gill Sans MT" w:hAnsi="Gill Sans MT"/>
          <w:b/>
          <w:bCs/>
          <w:sz w:val="24"/>
          <w:szCs w:val="24"/>
        </w:rPr>
        <w:t xml:space="preserve"> op basis van het OICO-principe</w:t>
      </w:r>
    </w:p>
    <w:p w14:paraId="41EF125E" w14:textId="77777777" w:rsidR="003B12C8" w:rsidRPr="009D1062" w:rsidRDefault="003B12C8" w:rsidP="009D1062">
      <w:pPr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1742"/>
        <w:gridCol w:w="1792"/>
        <w:gridCol w:w="1698"/>
        <w:gridCol w:w="1698"/>
        <w:gridCol w:w="2132"/>
      </w:tblGrid>
      <w:tr w:rsidR="00C736E9" w:rsidRPr="00C736E9" w14:paraId="4EA40435" w14:textId="77777777" w:rsidTr="00D35B39">
        <w:tc>
          <w:tcPr>
            <w:tcW w:w="1742" w:type="dxa"/>
          </w:tcPr>
          <w:p w14:paraId="5603FD50" w14:textId="77777777" w:rsidR="00C736E9" w:rsidRPr="00C736E9" w:rsidRDefault="00C736E9" w:rsidP="00D35B39">
            <w:pPr>
              <w:jc w:val="center"/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Deelvaardigheid</w:t>
            </w:r>
          </w:p>
        </w:tc>
        <w:tc>
          <w:tcPr>
            <w:tcW w:w="1792" w:type="dxa"/>
          </w:tcPr>
          <w:p w14:paraId="7219CA3D" w14:textId="77777777" w:rsidR="00C736E9" w:rsidRPr="00C736E9" w:rsidRDefault="00C736E9" w:rsidP="00D35B39">
            <w:pPr>
              <w:jc w:val="center"/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Observatie</w:t>
            </w:r>
          </w:p>
        </w:tc>
        <w:tc>
          <w:tcPr>
            <w:tcW w:w="1698" w:type="dxa"/>
          </w:tcPr>
          <w:p w14:paraId="627080BE" w14:textId="77777777" w:rsidR="00C736E9" w:rsidRPr="00C736E9" w:rsidRDefault="00C736E9" w:rsidP="00D35B39">
            <w:pPr>
              <w:jc w:val="center"/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Imitatie</w:t>
            </w:r>
          </w:p>
        </w:tc>
        <w:tc>
          <w:tcPr>
            <w:tcW w:w="1698" w:type="dxa"/>
          </w:tcPr>
          <w:p w14:paraId="1107D929" w14:textId="77777777" w:rsidR="00C736E9" w:rsidRPr="00C736E9" w:rsidRDefault="00C736E9" w:rsidP="00D35B39">
            <w:pPr>
              <w:jc w:val="center"/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Creatie</w:t>
            </w:r>
          </w:p>
        </w:tc>
        <w:tc>
          <w:tcPr>
            <w:tcW w:w="2132" w:type="dxa"/>
          </w:tcPr>
          <w:p w14:paraId="7522AF17" w14:textId="77777777" w:rsidR="00C736E9" w:rsidRPr="00C736E9" w:rsidRDefault="00C736E9" w:rsidP="00D35B39">
            <w:pPr>
              <w:jc w:val="center"/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Originaliteit</w:t>
            </w:r>
          </w:p>
        </w:tc>
      </w:tr>
      <w:tr w:rsidR="00C736E9" w:rsidRPr="00C736E9" w14:paraId="169D4315" w14:textId="77777777" w:rsidTr="00D35B39">
        <w:tc>
          <w:tcPr>
            <w:tcW w:w="1742" w:type="dxa"/>
          </w:tcPr>
          <w:p w14:paraId="05425307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Associatief vertellen (mondeling)</w:t>
            </w:r>
          </w:p>
        </w:tc>
        <w:tc>
          <w:tcPr>
            <w:tcW w:w="1792" w:type="dxa"/>
          </w:tcPr>
          <w:p w14:paraId="5C77EAFD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volgt een associatief verhaal van de medeleerlingen</w:t>
            </w:r>
          </w:p>
        </w:tc>
        <w:tc>
          <w:tcPr>
            <w:tcW w:w="1698" w:type="dxa"/>
          </w:tcPr>
          <w:p w14:paraId="7F7ED5A1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breidt op basis van de inbreng van een leerling een idee uit (met een voorbeeld of eigenschap).</w:t>
            </w:r>
          </w:p>
        </w:tc>
        <w:tc>
          <w:tcPr>
            <w:tcW w:w="1698" w:type="dxa"/>
          </w:tcPr>
          <w:p w14:paraId="3FD68D01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brengt in het associatieve verhaal zelf nieuwe ideeën aan.</w:t>
            </w:r>
          </w:p>
        </w:tc>
        <w:tc>
          <w:tcPr>
            <w:tcW w:w="2132" w:type="dxa"/>
          </w:tcPr>
          <w:p w14:paraId="24EC4199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zorgt voor onverwachte wendingen of neemt verschillende ideeën uit het verhaal in een volgende stap samen.</w:t>
            </w:r>
          </w:p>
        </w:tc>
      </w:tr>
      <w:tr w:rsidR="00C736E9" w:rsidRPr="00C736E9" w14:paraId="0BD39210" w14:textId="77777777" w:rsidTr="00D35B39">
        <w:tc>
          <w:tcPr>
            <w:tcW w:w="1742" w:type="dxa"/>
          </w:tcPr>
          <w:p w14:paraId="2A232E75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Associatief vertellen in functie van een doel</w:t>
            </w:r>
          </w:p>
        </w:tc>
        <w:tc>
          <w:tcPr>
            <w:tcW w:w="1792" w:type="dxa"/>
          </w:tcPr>
          <w:p w14:paraId="22BA1054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herkent hoe anderen al vertellend bepaalde effecten bereiken.</w:t>
            </w:r>
          </w:p>
        </w:tc>
        <w:tc>
          <w:tcPr>
            <w:tcW w:w="1698" w:type="dxa"/>
          </w:tcPr>
          <w:p w14:paraId="5711277A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breidt al vertellend het effect dat anderen hebben bereikt verder uit.</w:t>
            </w:r>
          </w:p>
        </w:tc>
        <w:tc>
          <w:tcPr>
            <w:tcW w:w="1698" w:type="dxa"/>
          </w:tcPr>
          <w:p w14:paraId="48245FAB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stuurt al vertellend aan op een bepaald effect bij de luisteraar.</w:t>
            </w:r>
          </w:p>
        </w:tc>
        <w:tc>
          <w:tcPr>
            <w:tcW w:w="2132" w:type="dxa"/>
          </w:tcPr>
          <w:p w14:paraId="3676EFA0" w14:textId="5050B8C4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zet een effect bewust in</w:t>
            </w:r>
            <w:r w:rsidR="009D1062">
              <w:rPr>
                <w:rFonts w:ascii="Gill Sans MT" w:hAnsi="Gill Sans MT"/>
              </w:rPr>
              <w:t>,</w:t>
            </w:r>
            <w:r w:rsidRPr="00C736E9">
              <w:rPr>
                <w:rFonts w:ascii="Gill Sans MT" w:hAnsi="Gill Sans MT"/>
              </w:rPr>
              <w:t xml:space="preserve"> i</w:t>
            </w:r>
            <w:proofErr w:type="spellStart"/>
            <w:r w:rsidRPr="00C736E9">
              <w:rPr>
                <w:rFonts w:ascii="Gill Sans MT" w:hAnsi="Gill Sans MT"/>
              </w:rPr>
              <w:t>n</w:t>
            </w:r>
            <w:proofErr w:type="spellEnd"/>
            <w:r w:rsidRPr="00C736E9">
              <w:rPr>
                <w:rFonts w:ascii="Gill Sans MT" w:hAnsi="Gill Sans MT"/>
              </w:rPr>
              <w:t xml:space="preserve"> functie van een doel.</w:t>
            </w:r>
          </w:p>
        </w:tc>
      </w:tr>
      <w:tr w:rsidR="00C736E9" w:rsidRPr="00C736E9" w14:paraId="39DC9B46" w14:textId="77777777" w:rsidTr="00D35B39">
        <w:tc>
          <w:tcPr>
            <w:tcW w:w="1742" w:type="dxa"/>
          </w:tcPr>
          <w:p w14:paraId="4E97277C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Een verhaalstructuur voorbereiden</w:t>
            </w:r>
          </w:p>
        </w:tc>
        <w:tc>
          <w:tcPr>
            <w:tcW w:w="1792" w:type="dxa"/>
          </w:tcPr>
          <w:p w14:paraId="17D29851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observeert hoe anderen verhaalstructuren maken.</w:t>
            </w:r>
          </w:p>
        </w:tc>
        <w:tc>
          <w:tcPr>
            <w:tcW w:w="1698" w:type="dxa"/>
          </w:tcPr>
          <w:p w14:paraId="052A0DDB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vult een bestaande verhaalstructuur flexibel op met eigen ideeën of op basis van een gelijkaardige gebeurtenis in.</w:t>
            </w:r>
          </w:p>
        </w:tc>
        <w:tc>
          <w:tcPr>
            <w:tcW w:w="1698" w:type="dxa"/>
          </w:tcPr>
          <w:p w14:paraId="39624767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ontwerpt zelf een verhaalstructuur gebaseerd op eigen ervaringen of gekende verhalen.</w:t>
            </w:r>
          </w:p>
        </w:tc>
        <w:tc>
          <w:tcPr>
            <w:tcW w:w="2132" w:type="dxa"/>
          </w:tcPr>
          <w:p w14:paraId="0A5A00C7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ontwerpt verhaalstructuren waarin je speelt met verschillende elementen die de structuur bepalen (tijd, plaats, vorm, spanningsopbouw, …)</w:t>
            </w:r>
          </w:p>
        </w:tc>
      </w:tr>
      <w:tr w:rsidR="00C736E9" w:rsidRPr="00C736E9" w14:paraId="76AE548D" w14:textId="77777777" w:rsidTr="00D35B39">
        <w:tc>
          <w:tcPr>
            <w:tcW w:w="1742" w:type="dxa"/>
          </w:tcPr>
          <w:p w14:paraId="5F3DA31F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Materiaal verzamelen</w:t>
            </w:r>
          </w:p>
        </w:tc>
        <w:tc>
          <w:tcPr>
            <w:tcW w:w="1792" w:type="dxa"/>
          </w:tcPr>
          <w:p w14:paraId="5AA7BC2B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 xml:space="preserve">Je kijkt hoe anderen materiaal verzamelen en vult hier en </w:t>
            </w:r>
            <w:proofErr w:type="gramStart"/>
            <w:r w:rsidRPr="00C736E9">
              <w:rPr>
                <w:rFonts w:ascii="Gill Sans MT" w:hAnsi="Gill Sans MT"/>
              </w:rPr>
              <w:t>daar aan</w:t>
            </w:r>
            <w:proofErr w:type="gramEnd"/>
            <w:r w:rsidRPr="00C736E9">
              <w:rPr>
                <w:rFonts w:ascii="Gill Sans MT" w:hAnsi="Gill Sans MT"/>
              </w:rPr>
              <w:t>.</w:t>
            </w:r>
          </w:p>
        </w:tc>
        <w:tc>
          <w:tcPr>
            <w:tcW w:w="1698" w:type="dxa"/>
          </w:tcPr>
          <w:p w14:paraId="6FEAAAA4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past de klassieke manieren om materiaal te verzamelen toe.</w:t>
            </w:r>
          </w:p>
        </w:tc>
        <w:tc>
          <w:tcPr>
            <w:tcW w:w="1698" w:type="dxa"/>
          </w:tcPr>
          <w:p w14:paraId="18A13A6F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verzamelt materiaal in functie van een bepaald schrijfdoel.</w:t>
            </w:r>
          </w:p>
        </w:tc>
        <w:tc>
          <w:tcPr>
            <w:tcW w:w="2132" w:type="dxa"/>
          </w:tcPr>
          <w:p w14:paraId="7C4B7AAE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verrijkt materiaal door te verzamelen via onverwachte invalshoeken.</w:t>
            </w:r>
          </w:p>
        </w:tc>
      </w:tr>
      <w:tr w:rsidR="00C736E9" w:rsidRPr="00C736E9" w14:paraId="078669E7" w14:textId="77777777" w:rsidTr="00D35B39">
        <w:tc>
          <w:tcPr>
            <w:tcW w:w="1742" w:type="dxa"/>
          </w:tcPr>
          <w:p w14:paraId="18EEA26E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Materiaal ordenen</w:t>
            </w:r>
          </w:p>
        </w:tc>
        <w:tc>
          <w:tcPr>
            <w:tcW w:w="1792" w:type="dxa"/>
          </w:tcPr>
          <w:p w14:paraId="15DA1D85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kijkt toe hoe anderen materiaal ordenen en doet af en toe suggesties.</w:t>
            </w:r>
          </w:p>
        </w:tc>
        <w:tc>
          <w:tcPr>
            <w:tcW w:w="1698" w:type="dxa"/>
          </w:tcPr>
          <w:p w14:paraId="6BAB3CB3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ordent materiaal in een bestaande structuur of varieert daarop.</w:t>
            </w:r>
          </w:p>
        </w:tc>
        <w:tc>
          <w:tcPr>
            <w:tcW w:w="1698" w:type="dxa"/>
          </w:tcPr>
          <w:p w14:paraId="23448083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ordent materiaal zodat er onverwachte elementen of wendingen ontstaan.</w:t>
            </w:r>
          </w:p>
        </w:tc>
        <w:tc>
          <w:tcPr>
            <w:tcW w:w="2132" w:type="dxa"/>
          </w:tcPr>
          <w:p w14:paraId="1602E135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ordent materiaal via onverwachte invalshoeken en in functie van een schrijfdoel.</w:t>
            </w:r>
          </w:p>
        </w:tc>
      </w:tr>
      <w:tr w:rsidR="00C736E9" w:rsidRPr="00C736E9" w14:paraId="379DBE3C" w14:textId="77777777" w:rsidTr="00D35B39">
        <w:tc>
          <w:tcPr>
            <w:tcW w:w="1742" w:type="dxa"/>
          </w:tcPr>
          <w:p w14:paraId="4A996682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Schrijfdoel</w:t>
            </w:r>
          </w:p>
        </w:tc>
        <w:tc>
          <w:tcPr>
            <w:tcW w:w="1792" w:type="dxa"/>
          </w:tcPr>
          <w:p w14:paraId="79FE6DC7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herkent een schrijfdoel in een tekst.</w:t>
            </w:r>
          </w:p>
        </w:tc>
        <w:tc>
          <w:tcPr>
            <w:tcW w:w="1698" w:type="dxa"/>
          </w:tcPr>
          <w:p w14:paraId="30C6625B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schrijft op basis van een bestaande tekst een soortgelijke tekst met éénzelfde schrijfdoel.</w:t>
            </w:r>
          </w:p>
        </w:tc>
        <w:tc>
          <w:tcPr>
            <w:tcW w:w="1698" w:type="dxa"/>
          </w:tcPr>
          <w:p w14:paraId="45B808A9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bepaalt zelf een schrijfdoel en schrijft in functie daarvan.</w:t>
            </w:r>
          </w:p>
        </w:tc>
        <w:tc>
          <w:tcPr>
            <w:tcW w:w="2132" w:type="dxa"/>
          </w:tcPr>
          <w:p w14:paraId="40311FCC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schrijft een tekst waarin je een schrijfdoel combineert met het ordenen en verzamelen van materiaal.</w:t>
            </w:r>
          </w:p>
        </w:tc>
      </w:tr>
      <w:tr w:rsidR="00C736E9" w:rsidRPr="00C736E9" w14:paraId="5526AD7C" w14:textId="77777777" w:rsidTr="00D35B39">
        <w:tc>
          <w:tcPr>
            <w:tcW w:w="1742" w:type="dxa"/>
          </w:tcPr>
          <w:p w14:paraId="3997D791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Tijd (tempo)</w:t>
            </w:r>
          </w:p>
        </w:tc>
        <w:tc>
          <w:tcPr>
            <w:tcW w:w="1792" w:type="dxa"/>
          </w:tcPr>
          <w:p w14:paraId="1135B25E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herkent hoe schrijvers met het tempo van het verhaal spelen.</w:t>
            </w:r>
          </w:p>
        </w:tc>
        <w:tc>
          <w:tcPr>
            <w:tcW w:w="1698" w:type="dxa"/>
          </w:tcPr>
          <w:p w14:paraId="540867B6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past in een bestaand verhaal het tempo aan door delen te herschrijven.</w:t>
            </w:r>
          </w:p>
        </w:tc>
        <w:tc>
          <w:tcPr>
            <w:tcW w:w="1698" w:type="dxa"/>
          </w:tcPr>
          <w:p w14:paraId="617F875C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speelt met wisselingen van tempo in een verhaal.</w:t>
            </w:r>
          </w:p>
        </w:tc>
        <w:tc>
          <w:tcPr>
            <w:tcW w:w="2132" w:type="dxa"/>
          </w:tcPr>
          <w:p w14:paraId="7478B0E1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zet wisselingen van tempo in om een vorm of een schrijfdoel sterker te maken.</w:t>
            </w:r>
          </w:p>
        </w:tc>
      </w:tr>
      <w:tr w:rsidR="00C736E9" w:rsidRPr="00C736E9" w14:paraId="0DA80D1F" w14:textId="77777777" w:rsidTr="00D35B39">
        <w:tc>
          <w:tcPr>
            <w:tcW w:w="1742" w:type="dxa"/>
          </w:tcPr>
          <w:p w14:paraId="47DA50BA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lastRenderedPageBreak/>
              <w:t>Tijd (structuur)</w:t>
            </w:r>
          </w:p>
        </w:tc>
        <w:tc>
          <w:tcPr>
            <w:tcW w:w="1792" w:type="dxa"/>
          </w:tcPr>
          <w:p w14:paraId="1D57D1E1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analyseert verhalen in functie van tijdsprongen, flashbacks en flashforwards.</w:t>
            </w:r>
          </w:p>
        </w:tc>
        <w:tc>
          <w:tcPr>
            <w:tcW w:w="1698" w:type="dxa"/>
          </w:tcPr>
          <w:p w14:paraId="4D1B6434" w14:textId="43CD075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voegt een tijdsprong, flashback of flashforward in</w:t>
            </w:r>
            <w:r w:rsidR="009D1062">
              <w:rPr>
                <w:rFonts w:ascii="Gill Sans MT" w:hAnsi="Gill Sans MT"/>
              </w:rPr>
              <w:t>,</w:t>
            </w:r>
            <w:r w:rsidRPr="00C736E9">
              <w:rPr>
                <w:rFonts w:ascii="Gill Sans MT" w:hAnsi="Gill Sans MT"/>
              </w:rPr>
              <w:t xml:space="preserve"> in een bestaand verhaal.</w:t>
            </w:r>
          </w:p>
        </w:tc>
        <w:tc>
          <w:tcPr>
            <w:tcW w:w="1698" w:type="dxa"/>
          </w:tcPr>
          <w:p w14:paraId="2EDFF2F6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geeft een verhaal vorm, gebruikmakend van tijdsprongen, flashback en flashforward.</w:t>
            </w:r>
          </w:p>
        </w:tc>
        <w:tc>
          <w:tcPr>
            <w:tcW w:w="2132" w:type="dxa"/>
          </w:tcPr>
          <w:p w14:paraId="60789990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 xml:space="preserve">Je zet tijdsprongen in om een vorm of schrijfdoel sterker te maken. </w:t>
            </w:r>
          </w:p>
        </w:tc>
      </w:tr>
      <w:tr w:rsidR="00C736E9" w:rsidRPr="00C736E9" w14:paraId="62A96346" w14:textId="77777777" w:rsidTr="00D35B39">
        <w:tc>
          <w:tcPr>
            <w:tcW w:w="1742" w:type="dxa"/>
          </w:tcPr>
          <w:p w14:paraId="030C0FA5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Ruimte (imaginair)</w:t>
            </w:r>
          </w:p>
        </w:tc>
        <w:tc>
          <w:tcPr>
            <w:tcW w:w="1792" w:type="dxa"/>
          </w:tcPr>
          <w:p w14:paraId="00C0D4F5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 xml:space="preserve">Je herkent hoe schrijvers met plaats en ruimte spelen in een verhaal. </w:t>
            </w:r>
          </w:p>
        </w:tc>
        <w:tc>
          <w:tcPr>
            <w:tcW w:w="1698" w:type="dxa"/>
          </w:tcPr>
          <w:p w14:paraId="00B66E56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beschrijft een bestaande plaats of ruimte (schriftelijk).</w:t>
            </w:r>
          </w:p>
        </w:tc>
        <w:tc>
          <w:tcPr>
            <w:tcW w:w="1698" w:type="dxa"/>
          </w:tcPr>
          <w:p w14:paraId="71B38D9C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creëert al schrijvend zelf een ruimte.</w:t>
            </w:r>
          </w:p>
        </w:tc>
        <w:tc>
          <w:tcPr>
            <w:tcW w:w="2132" w:type="dxa"/>
          </w:tcPr>
          <w:p w14:paraId="104C857A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creëert al schrijvend een ruimte om een vorm of schrijfdoel sterker te maken.</w:t>
            </w:r>
          </w:p>
        </w:tc>
      </w:tr>
      <w:tr w:rsidR="00C736E9" w:rsidRPr="00C736E9" w14:paraId="0F0E7682" w14:textId="77777777" w:rsidTr="00D35B39">
        <w:tc>
          <w:tcPr>
            <w:tcW w:w="1742" w:type="dxa"/>
          </w:tcPr>
          <w:p w14:paraId="175258FC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Stijlfiguren</w:t>
            </w:r>
          </w:p>
        </w:tc>
        <w:tc>
          <w:tcPr>
            <w:tcW w:w="1792" w:type="dxa"/>
          </w:tcPr>
          <w:p w14:paraId="4D2C8C3F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herkent stijlfiguren in een tekst.</w:t>
            </w:r>
          </w:p>
        </w:tc>
        <w:tc>
          <w:tcPr>
            <w:tcW w:w="1698" w:type="dxa"/>
          </w:tcPr>
          <w:p w14:paraId="410D186A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verzint en schrijft tekst in functie van opgelegde stijlfiguren.</w:t>
            </w:r>
          </w:p>
        </w:tc>
        <w:tc>
          <w:tcPr>
            <w:tcW w:w="1698" w:type="dxa"/>
          </w:tcPr>
          <w:p w14:paraId="2E6E77F2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speelt met stijlfiguren in een tekst.</w:t>
            </w:r>
          </w:p>
        </w:tc>
        <w:tc>
          <w:tcPr>
            <w:tcW w:w="2132" w:type="dxa"/>
          </w:tcPr>
          <w:p w14:paraId="5EFC45CB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 xml:space="preserve">Je creëert met stijlfiguren om een vorm of schrijfdoel sterker te maken. </w:t>
            </w:r>
          </w:p>
        </w:tc>
      </w:tr>
      <w:tr w:rsidR="00C736E9" w:rsidRPr="00C736E9" w14:paraId="1F091EB2" w14:textId="77777777" w:rsidTr="00D35B39">
        <w:tc>
          <w:tcPr>
            <w:tcW w:w="1742" w:type="dxa"/>
          </w:tcPr>
          <w:p w14:paraId="38E51312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Standpunt van de schrijver</w:t>
            </w:r>
          </w:p>
        </w:tc>
        <w:tc>
          <w:tcPr>
            <w:tcW w:w="1792" w:type="dxa"/>
          </w:tcPr>
          <w:p w14:paraId="47197C12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ziet de standpunten die de schrijver inneemt in een verhaal.</w:t>
            </w:r>
          </w:p>
        </w:tc>
        <w:tc>
          <w:tcPr>
            <w:tcW w:w="1698" w:type="dxa"/>
          </w:tcPr>
          <w:p w14:paraId="37B992E9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wisselt van standpunt als de standpunten van tevoren zijn vastgelegd.</w:t>
            </w:r>
          </w:p>
        </w:tc>
        <w:tc>
          <w:tcPr>
            <w:tcW w:w="1698" w:type="dxa"/>
          </w:tcPr>
          <w:p w14:paraId="6545BC59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schrijft een tekst met bewuste keuzes over het wisselen van standpunt.</w:t>
            </w:r>
          </w:p>
        </w:tc>
        <w:tc>
          <w:tcPr>
            <w:tcW w:w="2132" w:type="dxa"/>
          </w:tcPr>
          <w:p w14:paraId="3F579C04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schrijft zo dat het wisselen van standpunt de vorm, het schrijfdoel of de spanning versterkt.</w:t>
            </w:r>
          </w:p>
        </w:tc>
      </w:tr>
      <w:tr w:rsidR="00C736E9" w:rsidRPr="00C736E9" w14:paraId="4A750555" w14:textId="77777777" w:rsidTr="00D35B39">
        <w:tc>
          <w:tcPr>
            <w:tcW w:w="1742" w:type="dxa"/>
          </w:tcPr>
          <w:p w14:paraId="3BEB52F4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Vorm</w:t>
            </w:r>
          </w:p>
        </w:tc>
        <w:tc>
          <w:tcPr>
            <w:tcW w:w="1792" w:type="dxa"/>
          </w:tcPr>
          <w:p w14:paraId="4DDA2EA2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herkent vormen en analyseert ze.</w:t>
            </w:r>
          </w:p>
        </w:tc>
        <w:tc>
          <w:tcPr>
            <w:tcW w:w="1698" w:type="dxa"/>
          </w:tcPr>
          <w:p w14:paraId="463BEE71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neemt een bestaande vorm over en schrijft daarmee een tekst, verhaal of gedicht.</w:t>
            </w:r>
          </w:p>
        </w:tc>
        <w:tc>
          <w:tcPr>
            <w:tcW w:w="1698" w:type="dxa"/>
          </w:tcPr>
          <w:p w14:paraId="04374CFB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bedenkt zelf vormen en versterkt je tekst door je aan de vorm te houden.</w:t>
            </w:r>
          </w:p>
        </w:tc>
        <w:tc>
          <w:tcPr>
            <w:tcW w:w="2132" w:type="dxa"/>
          </w:tcPr>
          <w:p w14:paraId="5890EA2F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versterkt de inhoud door de vorm of omgekeerd.</w:t>
            </w:r>
          </w:p>
        </w:tc>
      </w:tr>
      <w:tr w:rsidR="00C736E9" w:rsidRPr="00C736E9" w14:paraId="0F5673CF" w14:textId="77777777" w:rsidTr="00D35B39">
        <w:tc>
          <w:tcPr>
            <w:tcW w:w="1742" w:type="dxa"/>
          </w:tcPr>
          <w:p w14:paraId="065A7C2D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 xml:space="preserve">Stijl </w:t>
            </w:r>
          </w:p>
        </w:tc>
        <w:tc>
          <w:tcPr>
            <w:tcW w:w="1792" w:type="dxa"/>
          </w:tcPr>
          <w:p w14:paraId="585A8C35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benoemt de sfeer of stijl van een tekst.</w:t>
            </w:r>
          </w:p>
        </w:tc>
        <w:tc>
          <w:tcPr>
            <w:tcW w:w="1698" w:type="dxa"/>
          </w:tcPr>
          <w:p w14:paraId="24C1C07F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schrijft een tekst in een bepaalde sfeer of stijl op basis van een bestaande tekst.</w:t>
            </w:r>
          </w:p>
        </w:tc>
        <w:tc>
          <w:tcPr>
            <w:tcW w:w="1698" w:type="dxa"/>
          </w:tcPr>
          <w:p w14:paraId="3802898D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schrijft in een bepaalde stijl of sfeer.</w:t>
            </w:r>
          </w:p>
        </w:tc>
        <w:tc>
          <w:tcPr>
            <w:tcW w:w="2132" w:type="dxa"/>
          </w:tcPr>
          <w:p w14:paraId="5463AFA7" w14:textId="77777777" w:rsidR="00C736E9" w:rsidRPr="00C736E9" w:rsidRDefault="00C736E9" w:rsidP="00D35B39">
            <w:pPr>
              <w:rPr>
                <w:rFonts w:ascii="Gill Sans MT" w:hAnsi="Gill Sans MT"/>
              </w:rPr>
            </w:pPr>
            <w:r w:rsidRPr="00C736E9">
              <w:rPr>
                <w:rFonts w:ascii="Gill Sans MT" w:hAnsi="Gill Sans MT"/>
              </w:rPr>
              <w:t>Je versterkt de stijl of sfeer door te spelen met vorm en inhoud.</w:t>
            </w:r>
          </w:p>
        </w:tc>
      </w:tr>
    </w:tbl>
    <w:p w14:paraId="49CBAB7B" w14:textId="77777777" w:rsidR="00DD7171" w:rsidRPr="00C736E9" w:rsidRDefault="00DD7171" w:rsidP="00AB0023">
      <w:pPr>
        <w:jc w:val="center"/>
        <w:rPr>
          <w:rFonts w:ascii="Gill Sans MT" w:hAnsi="Gill Sans MT"/>
          <w:sz w:val="32"/>
          <w:szCs w:val="32"/>
        </w:rPr>
      </w:pPr>
    </w:p>
    <w:p w14:paraId="257E6F18" w14:textId="77777777" w:rsidR="00AB0023" w:rsidRPr="00C736E9" w:rsidRDefault="00AB0023" w:rsidP="00AB0023">
      <w:pPr>
        <w:jc w:val="center"/>
        <w:rPr>
          <w:rFonts w:ascii="Gill Sans MT" w:hAnsi="Gill Sans MT"/>
          <w:sz w:val="32"/>
          <w:szCs w:val="32"/>
        </w:rPr>
      </w:pPr>
    </w:p>
    <w:p w14:paraId="7E78A449" w14:textId="77777777" w:rsidR="00AB0023" w:rsidRPr="00C736E9" w:rsidRDefault="00AB0023" w:rsidP="00AB0023">
      <w:pPr>
        <w:rPr>
          <w:rFonts w:ascii="Gill Sans MT" w:hAnsi="Gill Sans MT"/>
        </w:rPr>
      </w:pPr>
    </w:p>
    <w:sectPr w:rsidR="00AB0023" w:rsidRPr="00C7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E9"/>
    <w:rsid w:val="003B12C8"/>
    <w:rsid w:val="0050768C"/>
    <w:rsid w:val="0053695F"/>
    <w:rsid w:val="00575DC2"/>
    <w:rsid w:val="009D1062"/>
    <w:rsid w:val="00AB0023"/>
    <w:rsid w:val="00AD41F0"/>
    <w:rsid w:val="00C736E9"/>
    <w:rsid w:val="00DB4EE7"/>
    <w:rsid w:val="00D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95D9"/>
  <w15:chartTrackingRefBased/>
  <w15:docId w15:val="{825F0A2B-D16C-4CF3-968E-CC12390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6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Aangepaste%20Office-sjablonen\Ruimtevaarder%20lee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Ruimtevaarder leeg.dotx</Template>
  <TotalTime>7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2</cp:revision>
  <dcterms:created xsi:type="dcterms:W3CDTF">2021-11-06T21:09:00Z</dcterms:created>
  <dcterms:modified xsi:type="dcterms:W3CDTF">2022-06-02T14:04:00Z</dcterms:modified>
</cp:coreProperties>
</file>